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334AAB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Privremena Inventura na Osnovu Stanja s Prijenosom u Novu Godinu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  <w:r w:rsidR="00334AAB">
        <w:rPr>
          <w:rStyle w:val="Heading2Char"/>
          <w:b/>
        </w:rPr>
        <w:t xml:space="preserve">korištenje XC </w:t>
      </w:r>
      <w:proofErr w:type="spellStart"/>
      <w:r w:rsidR="00334AAB">
        <w:rPr>
          <w:rStyle w:val="Heading2Char"/>
          <w:b/>
        </w:rPr>
        <w:t>Vision</w:t>
      </w:r>
      <w:proofErr w:type="spellEnd"/>
      <w:r w:rsidR="00334AAB">
        <w:rPr>
          <w:rStyle w:val="Heading2Char"/>
          <w:b/>
        </w:rPr>
        <w:t xml:space="preserve"> knjige PDV-a</w:t>
      </w:r>
    </w:p>
    <w:p w:rsidR="00334AAB" w:rsidRDefault="00334AAB" w:rsidP="00334AAB">
      <w:bookmarkStart w:id="0" w:name="_GoBack"/>
      <w:bookmarkEnd w:id="0"/>
      <w:r>
        <w:t>Kako bi se na dan 02.01.nove godine moglo za početi sa prodajom potrebno je u novoj godini formirati privremenu početnu inventuru. Ta inventura sadrži privremeno stanje na dan kada ju formirate, dakle inventura se u 2014. Godini radi na osnovu  trenutnog stanja i kao takva prenosi u novu 2015. Godinu.</w:t>
      </w:r>
    </w:p>
    <w:p w:rsidR="00334AAB" w:rsidRDefault="00334AAB" w:rsidP="00334AAB"/>
    <w:p w:rsidR="00334AAB" w:rsidRDefault="00334AAB" w:rsidP="00334AAB">
      <w:r>
        <w:t>U staroj godini na ulaznim dokumentima</w:t>
      </w:r>
      <w:r>
        <w:sym w:font="Wingdings" w:char="F0E0"/>
      </w:r>
      <w:r>
        <w:t>Inventure</w:t>
      </w:r>
      <w:r>
        <w:sym w:font="Wingdings" w:char="F0E0"/>
      </w:r>
      <w:r>
        <w:t xml:space="preserve"> u svakoj poslovnoj jedinici </w:t>
      </w:r>
      <w:r>
        <w:sym w:font="Wingdings" w:char="F0E0"/>
      </w:r>
      <w:r>
        <w:t>desni klik miša</w:t>
      </w:r>
      <w:r>
        <w:sym w:font="Wingdings" w:char="F0E0"/>
      </w:r>
      <w:r>
        <w:t>Inventura stanja</w:t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6C01196F" wp14:editId="0139B429">
            <wp:extent cx="1857143" cy="2066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1DC12DB0" wp14:editId="17027389">
            <wp:extent cx="2809524" cy="3704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524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34AAB" w:rsidRDefault="00334AAB" w:rsidP="00334AAB"/>
    <w:p w:rsidR="00334AAB" w:rsidRDefault="00334AAB" w:rsidP="00334AAB">
      <w:r>
        <w:rPr>
          <w:noProof/>
          <w:lang w:eastAsia="hr-HR"/>
        </w:rPr>
        <w:lastRenderedPageBreak/>
        <w:drawing>
          <wp:inline distT="0" distB="0" distL="0" distR="0" wp14:anchorId="54170F65" wp14:editId="13B675DD">
            <wp:extent cx="3447619" cy="357142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t>Prihvatiti sve kako je program ponudio.</w:t>
      </w:r>
    </w:p>
    <w:p w:rsidR="00334AAB" w:rsidRDefault="00334AAB" w:rsidP="00334AAB">
      <w:r>
        <w:t>Program će napraviti novu inventuru koja će imati naziv AUTO.INV.</w:t>
      </w:r>
    </w:p>
    <w:p w:rsidR="00334AAB" w:rsidRDefault="00334AAB" w:rsidP="00334AAB">
      <w:r>
        <w:t>Na njoj se nalazi svi artikli koji su u času izrade inventure bili na stanju sa količinama i cijenama sa stanja skladišta.</w:t>
      </w:r>
    </w:p>
    <w:p w:rsidR="00334AAB" w:rsidRDefault="00334AAB" w:rsidP="00334AAB">
      <w:r>
        <w:t>Ta inventura se ne ažurira.</w:t>
      </w:r>
    </w:p>
    <w:p w:rsidR="00334AAB" w:rsidRDefault="00334AAB" w:rsidP="00334AAB">
      <w:r>
        <w:t>Nakon toga se uđe u novu  godinu, ponovno na:</w:t>
      </w:r>
    </w:p>
    <w:p w:rsidR="00334AAB" w:rsidRDefault="00334AAB" w:rsidP="00334AAB">
      <w:pPr>
        <w:rPr>
          <w:noProof/>
          <w:lang w:eastAsia="hr-HR"/>
        </w:rPr>
      </w:pPr>
      <w:r>
        <w:t>Ulazni dokumenti</w:t>
      </w:r>
      <w:r>
        <w:sym w:font="Wingdings" w:char="F0E0"/>
      </w:r>
      <w:r>
        <w:t>Inventure</w:t>
      </w:r>
      <w:r>
        <w:sym w:font="Wingdings" w:char="F0E0"/>
      </w:r>
      <w:r>
        <w:t xml:space="preserve"> u svakoj poslovnoj jedinici </w:t>
      </w:r>
      <w:r>
        <w:sym w:font="Wingdings" w:char="F0E0"/>
      </w:r>
      <w:r>
        <w:t>desni klik miša</w:t>
      </w:r>
      <w:r>
        <w:sym w:font="Wingdings" w:char="F0E0"/>
      </w:r>
      <w:r>
        <w:t>Prijenos inventure iz prošle godine</w:t>
      </w:r>
      <w:r>
        <w:rPr>
          <w:noProof/>
          <w:lang w:eastAsia="hr-HR"/>
        </w:rPr>
        <w:t xml:space="preserve"> </w:t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59D46B1D" wp14:editId="451E0A7B">
            <wp:extent cx="1857143" cy="20666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rPr>
          <w:noProof/>
          <w:lang w:eastAsia="hr-HR"/>
        </w:rPr>
        <w:lastRenderedPageBreak/>
        <w:drawing>
          <wp:inline distT="0" distB="0" distL="0" distR="0" wp14:anchorId="2C84ED72" wp14:editId="02960350">
            <wp:extent cx="2761905" cy="368571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6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5009BFD2" wp14:editId="2110B821">
            <wp:extent cx="5760720" cy="3885609"/>
            <wp:effectExtent l="0" t="0" r="0" b="635"/>
            <wp:docPr id="6" name="Picture 6" descr="C:\Users\ANTONI~1.HOR\AppData\Local\Temp\SNAGHTML1a2f21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~1.HOR\AppData\Local\Temp\SNAGHTML1a2f214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AB" w:rsidRDefault="00334AAB" w:rsidP="00334AAB"/>
    <w:p w:rsidR="00334AAB" w:rsidRDefault="00334AAB" w:rsidP="00334AAB">
      <w:r>
        <w:t>Program vas upozorava na broj inventure koju prenosite u novu godinu.</w:t>
      </w:r>
    </w:p>
    <w:p w:rsidR="00334AAB" w:rsidRDefault="00334AAB" w:rsidP="00334AAB">
      <w:r>
        <w:rPr>
          <w:noProof/>
          <w:lang w:eastAsia="hr-HR"/>
        </w:rPr>
        <w:lastRenderedPageBreak/>
        <w:drawing>
          <wp:inline distT="0" distB="0" distL="0" distR="0" wp14:anchorId="1974967E" wp14:editId="28BE24B6">
            <wp:extent cx="2085714" cy="11142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Odaberite </w:t>
      </w:r>
      <w:proofErr w:type="spellStart"/>
      <w:r>
        <w:t>Yes</w:t>
      </w:r>
      <w:proofErr w:type="spellEnd"/>
    </w:p>
    <w:p w:rsidR="00334AAB" w:rsidRDefault="00334AAB" w:rsidP="00334AAB"/>
    <w:p w:rsidR="00334AAB" w:rsidRDefault="00334AAB" w:rsidP="00334AAB">
      <w:r>
        <w:t>Nakon toga vam nudi broj inventure u novoj godini.</w:t>
      </w:r>
    </w:p>
    <w:p w:rsidR="00334AAB" w:rsidRDefault="00334AAB" w:rsidP="00334AAB">
      <w:r>
        <w:t>Predlažemo da to bude nulti broj inventure ( na kraju umjesto 1 stavite 0), jer će se ta inventura naknadno brisati kada će se raditi konačni prijenos „</w:t>
      </w:r>
      <w:proofErr w:type="spellStart"/>
      <w:r>
        <w:t>prave“invneture</w:t>
      </w:r>
      <w:proofErr w:type="spellEnd"/>
      <w:r>
        <w:t xml:space="preserve"> nakon što završite sa obradom i </w:t>
      </w:r>
      <w:proofErr w:type="spellStart"/>
      <w:r>
        <w:t>uskladom</w:t>
      </w:r>
      <w:proofErr w:type="spellEnd"/>
      <w:r>
        <w:t xml:space="preserve"> stanja i </w:t>
      </w:r>
      <w:proofErr w:type="spellStart"/>
      <w:r>
        <w:t>invenutra</w:t>
      </w:r>
      <w:proofErr w:type="spellEnd"/>
      <w:r>
        <w:t xml:space="preserve"> u staroj godini.</w:t>
      </w:r>
    </w:p>
    <w:p w:rsidR="00334AAB" w:rsidRDefault="00334AAB" w:rsidP="00334AAB"/>
    <w:p w:rsidR="00334AAB" w:rsidRDefault="00334AAB" w:rsidP="00334AAB">
      <w:r>
        <w:rPr>
          <w:noProof/>
          <w:lang w:eastAsia="hr-HR"/>
        </w:rPr>
        <w:drawing>
          <wp:inline distT="0" distB="0" distL="0" distR="0" wp14:anchorId="219311CB" wp14:editId="221E4AA7">
            <wp:extent cx="4705350" cy="1800225"/>
            <wp:effectExtent l="0" t="0" r="0" b="9525"/>
            <wp:docPr id="8" name="Picture 8" descr="C:\Users\ANTONI~1.HOR\AppData\Local\Temp\SNAGHTML1a346d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~1.HOR\AppData\Local\Temp\SNAGHTML1a346d8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7F229B17" wp14:editId="6DA4CAEC">
            <wp:extent cx="2971429" cy="1104762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/>
    <w:p w:rsidR="00334AAB" w:rsidRDefault="00334AAB" w:rsidP="00334AAB">
      <w:r>
        <w:t>Dakle ovo je samo privremena inventura koja će vam privremeno postaviti stanje i cijene u novoj godini kako bi mogli prvog radnog dana započeti prodaju.</w:t>
      </w:r>
    </w:p>
    <w:p w:rsidR="00334AAB" w:rsidRDefault="00334AAB" w:rsidP="00334AAB">
      <w:r>
        <w:t>Ona se poslije briše i prenosi ispravna konačna inventura.</w:t>
      </w:r>
    </w:p>
    <w:p w:rsidR="00334AAB" w:rsidRPr="00DB6850" w:rsidRDefault="00334AAB" w:rsidP="00334AAB">
      <w:pPr>
        <w:rPr>
          <w:b/>
          <w:color w:val="FF0000"/>
          <w:sz w:val="32"/>
          <w:szCs w:val="32"/>
        </w:rPr>
      </w:pPr>
      <w:r w:rsidRPr="00DB6850">
        <w:rPr>
          <w:b/>
          <w:color w:val="FF0000"/>
          <w:sz w:val="32"/>
          <w:szCs w:val="32"/>
        </w:rPr>
        <w:t>OVA SE INVENTURA NE SMATRA PRAVIM POČETNIM STANJEM.</w:t>
      </w:r>
    </w:p>
    <w:p w:rsidR="00334AAB" w:rsidRDefault="00334AAB" w:rsidP="00334AAB"/>
    <w:p w:rsidR="00334AAB" w:rsidRDefault="00334AAB" w:rsidP="00334AAB">
      <w:r>
        <w:t>Nakon što ste prenijeli inventuru potrebno joj je sa F4 izmijeniti  „broj evidencije“ u PRIVREMENA kako bi ju označili da je privremena a ne konačna.</w:t>
      </w:r>
    </w:p>
    <w:p w:rsidR="00334AAB" w:rsidRDefault="00334AAB" w:rsidP="00334AAB">
      <w:r>
        <w:rPr>
          <w:noProof/>
          <w:lang w:eastAsia="hr-HR"/>
        </w:rPr>
        <w:lastRenderedPageBreak/>
        <w:drawing>
          <wp:inline distT="0" distB="0" distL="0" distR="0" wp14:anchorId="6609AC74" wp14:editId="1C29CD90">
            <wp:extent cx="5760720" cy="3600450"/>
            <wp:effectExtent l="0" t="0" r="0" b="0"/>
            <wp:docPr id="10" name="Picture 10" descr="C:\Users\ANTONI~1.HOR\AppData\Local\Temp\SNAGHTML1a38ac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NI~1.HOR\AppData\Local\Temp\SNAGHTML1a38acbc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t xml:space="preserve">Nakon toga se ažurira </w:t>
      </w:r>
      <w:r>
        <w:sym w:font="Wingdings" w:char="F0E0"/>
      </w:r>
      <w:r>
        <w:t>desni klik</w:t>
      </w:r>
      <w:r>
        <w:sym w:font="Wingdings" w:char="F0E0"/>
      </w:r>
      <w:r>
        <w:t>Ažuriraj inventuru.</w:t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0ABFC49D" wp14:editId="79E67075">
            <wp:extent cx="2571429" cy="2571429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/>
    <w:p w:rsidR="00334AAB" w:rsidRDefault="00334AAB" w:rsidP="00334AAB">
      <w:r>
        <w:t>Ako ste korisnik koji prodaje i usluge, potrebno je napraviti i inventuru usluga.</w:t>
      </w:r>
    </w:p>
    <w:p w:rsidR="00334AAB" w:rsidRDefault="00334AAB" w:rsidP="00334AAB">
      <w:r>
        <w:t>U novoj godini na inventurama desni klik</w:t>
      </w:r>
    </w:p>
    <w:p w:rsidR="00334AAB" w:rsidRDefault="00334AAB" w:rsidP="00334AAB">
      <w:r>
        <w:rPr>
          <w:noProof/>
          <w:lang w:eastAsia="hr-HR"/>
        </w:rPr>
        <w:lastRenderedPageBreak/>
        <w:drawing>
          <wp:inline distT="0" distB="0" distL="0" distR="0" wp14:anchorId="187525E7" wp14:editId="613BC9E3">
            <wp:extent cx="2514600" cy="33556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335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t>Opet odaberete staru godinu:</w:t>
      </w:r>
    </w:p>
    <w:p w:rsidR="00334AAB" w:rsidRDefault="00334AAB" w:rsidP="00334AAB">
      <w:r>
        <w:rPr>
          <w:noProof/>
          <w:lang w:eastAsia="hr-HR"/>
        </w:rPr>
        <w:drawing>
          <wp:inline distT="0" distB="0" distL="0" distR="0" wp14:anchorId="4DBCE16E" wp14:editId="62211C3D">
            <wp:extent cx="5760720" cy="3885609"/>
            <wp:effectExtent l="0" t="0" r="0" b="635"/>
            <wp:docPr id="13" name="Picture 13" descr="C:\Users\ANTONI~1.HOR\AppData\Local\Temp\SNAGHTML1a3bb9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TONI~1.HOR\AppData\Local\Temp\SNAGHTML1a3bb9f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AB" w:rsidRDefault="00334AAB" w:rsidP="00334AAB">
      <w:r>
        <w:t>Ovaj puta se ne treba pozicionirati na neku određenu inventuru , nego samo odabrati „formiraj inventuru za usluge“.</w:t>
      </w:r>
    </w:p>
    <w:p w:rsidR="00334AAB" w:rsidRDefault="00334AAB" w:rsidP="00334AAB">
      <w:r>
        <w:t>Program će stvoriti novu inventuru na kojoj će se nalaziti samo usluge.</w:t>
      </w:r>
    </w:p>
    <w:p w:rsidR="00334AAB" w:rsidRDefault="00334AAB" w:rsidP="00334AAB">
      <w:r>
        <w:t>Broj te inventure neka na kraju bude 1, a u „Broj evidencije“ sa F4 upišite USLUGE“.</w:t>
      </w:r>
    </w:p>
    <w:p w:rsidR="00334AAB" w:rsidRDefault="00334AAB" w:rsidP="00334AAB">
      <w:r>
        <w:t>Ova se inventura također ažurira kao početno stanje sa postavljanjem prodajne cijene.</w:t>
      </w:r>
    </w:p>
    <w:p w:rsidR="00334AAB" w:rsidRPr="00356562" w:rsidRDefault="00334AAB" w:rsidP="00334AAB">
      <w:r>
        <w:t>Nju nije potrebno naknadno brisati i ponavljati.</w:t>
      </w:r>
    </w:p>
    <w:p w:rsidR="00316442" w:rsidRPr="00E07023" w:rsidRDefault="00316442" w:rsidP="00E07023">
      <w:pPr>
        <w:spacing w:after="0"/>
      </w:pPr>
    </w:p>
    <w:sectPr w:rsidR="00316442" w:rsidRPr="00E07023" w:rsidSect="00964C32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>
          <w:rPr>
            <w:iCs/>
            <w:color w:val="1F3864" w:themeColor="accent5" w:themeShade="80"/>
          </w:rPr>
          <w:t xml:space="preserve"> </w:t>
        </w:r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35F53"/>
    <w:rsid w:val="00964C32"/>
    <w:rsid w:val="009D02C8"/>
    <w:rsid w:val="009D63F7"/>
    <w:rsid w:val="00A144D8"/>
    <w:rsid w:val="00A456E4"/>
    <w:rsid w:val="00B314B7"/>
    <w:rsid w:val="00BE3135"/>
    <w:rsid w:val="00C523E7"/>
    <w:rsid w:val="00C56ADF"/>
    <w:rsid w:val="00CB407D"/>
    <w:rsid w:val="00CB5DB1"/>
    <w:rsid w:val="00D1190C"/>
    <w:rsid w:val="00D45C90"/>
    <w:rsid w:val="00D878B9"/>
    <w:rsid w:val="00D92B95"/>
    <w:rsid w:val="00DD1E24"/>
    <w:rsid w:val="00DF1B6B"/>
    <w:rsid w:val="00E07023"/>
    <w:rsid w:val="00E572AF"/>
    <w:rsid w:val="00E7180A"/>
    <w:rsid w:val="00EA2AF8"/>
    <w:rsid w:val="00ED6026"/>
    <w:rsid w:val="00EF474A"/>
    <w:rsid w:val="00F426F9"/>
    <w:rsid w:val="00F651E4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EAD10D-DCAB-443B-967C-B7D347E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0E4A-E0D8-4BA0-9CAC-93090EF3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Filip Lizatović</cp:lastModifiedBy>
  <cp:revision>33</cp:revision>
  <dcterms:created xsi:type="dcterms:W3CDTF">2014-08-20T13:26:00Z</dcterms:created>
  <dcterms:modified xsi:type="dcterms:W3CDTF">2014-12-29T13:07:00Z</dcterms:modified>
</cp:coreProperties>
</file>